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E71D" w14:textId="5D7B5867" w:rsidR="00594B8D" w:rsidRPr="00760FF4" w:rsidRDefault="00594B8D" w:rsidP="00594B8D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17"/>
          <w:szCs w:val="17"/>
        </w:rPr>
      </w:pPr>
      <w:r w:rsidRPr="00A933C1">
        <w:rPr>
          <w:rFonts w:asciiTheme="majorHAnsi" w:hAnsiTheme="majorHAnsi" w:cstheme="majorHAnsi"/>
          <w:b/>
          <w:bCs/>
          <w:sz w:val="28"/>
          <w:szCs w:val="28"/>
        </w:rPr>
        <w:t xml:space="preserve">ИНФОРМАЦИЯ И ИНСТРУКЦИИ ЗА ИЗПЪЛНИТЕЛЯ НА СЕИЗМОНТ </w:t>
      </w:r>
      <w:r>
        <w:rPr>
          <w:rFonts w:asciiTheme="majorHAnsi" w:hAnsiTheme="majorHAnsi" w:cs="Calibri Light"/>
          <w:b/>
          <w:bCs/>
          <w:sz w:val="28"/>
          <w:szCs w:val="28"/>
        </w:rPr>
        <w:t xml:space="preserve">     </w:t>
      </w:r>
      <w:r w:rsidRPr="00300265">
        <w:rPr>
          <w:rFonts w:asciiTheme="majorHAnsi" w:hAnsiTheme="majorHAnsi" w:cs="Calibri Light"/>
          <w:b/>
          <w:bCs/>
          <w:sz w:val="28"/>
          <w:szCs w:val="28"/>
        </w:rPr>
        <w:t>14</w:t>
      </w:r>
      <w:r>
        <w:rPr>
          <w:rFonts w:asciiTheme="majorHAnsi" w:hAnsiTheme="majorHAnsi" w:cs="Calibri Light"/>
          <w:b/>
          <w:bCs/>
          <w:sz w:val="28"/>
          <w:szCs w:val="28"/>
        </w:rPr>
        <w:t>4</w:t>
      </w:r>
      <w:r>
        <w:rPr>
          <w:rFonts w:asciiTheme="majorHAnsi" w:hAnsiTheme="majorHAnsi" w:cs="Calibri Light"/>
          <w:sz w:val="28"/>
          <w:szCs w:val="28"/>
        </w:rPr>
        <w:t xml:space="preserve"> - </w:t>
      </w:r>
      <w:r w:rsidRPr="00300265">
        <w:rPr>
          <w:rFonts w:asciiTheme="majorHAnsi" w:hAnsiTheme="majorHAnsi" w:cs="Calibri Light"/>
          <w:b/>
          <w:bCs/>
          <w:sz w:val="28"/>
          <w:szCs w:val="28"/>
        </w:rPr>
        <w:t>202</w:t>
      </w:r>
      <w:r w:rsidR="00B24353">
        <w:rPr>
          <w:rFonts w:asciiTheme="majorHAnsi" w:hAnsiTheme="majorHAnsi" w:cs="Calibri Light"/>
          <w:b/>
          <w:bCs/>
          <w:sz w:val="28"/>
          <w:szCs w:val="28"/>
        </w:rPr>
        <w:t>6</w:t>
      </w:r>
      <w:r w:rsidRPr="00B751A7">
        <w:rPr>
          <w:rFonts w:asciiTheme="majorHAnsi" w:eastAsia="Times New Roman" w:hAnsiTheme="majorHAnsi" w:cs="Calibri Light"/>
          <w:sz w:val="17"/>
          <w:szCs w:val="17"/>
          <w:highlight w:val="yellow"/>
        </w:rPr>
        <w:t xml:space="preserve"> </w:t>
      </w:r>
    </w:p>
    <w:p w14:paraId="12B8E841" w14:textId="77777777" w:rsidR="00594B8D" w:rsidRPr="00A933C1" w:rsidRDefault="00594B8D" w:rsidP="00594B8D">
      <w:pPr>
        <w:spacing w:after="0" w:line="200" w:lineRule="atLeast"/>
        <w:ind w:left="284"/>
        <w:rPr>
          <w:rFonts w:asciiTheme="majorHAnsi" w:hAnsiTheme="majorHAnsi" w:cstheme="majorHAnsi"/>
          <w:b/>
          <w:bCs/>
          <w:sz w:val="28"/>
          <w:szCs w:val="28"/>
        </w:rPr>
      </w:pPr>
    </w:p>
    <w:p w14:paraId="5AB2B93D" w14:textId="77777777" w:rsidR="00594B8D" w:rsidRPr="00A933C1" w:rsidRDefault="00594B8D" w:rsidP="00594B8D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Получили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формуляр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възможност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Вашия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работодател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Това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означава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предстоящия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период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а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постоянен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157938C6" w14:textId="77777777" w:rsidR="00594B8D" w:rsidRPr="00A933C1" w:rsidRDefault="00594B8D" w:rsidP="00594B8D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6683AEB6" w14:textId="77777777" w:rsidR="00594B8D" w:rsidRPr="00A933C1" w:rsidRDefault="00594B8D" w:rsidP="00594B8D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Какво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представлява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сезонната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?  </w:t>
      </w:r>
    </w:p>
    <w:p w14:paraId="64D27174" w14:textId="77777777" w:rsidR="00594B8D" w:rsidRPr="00A933C1" w:rsidRDefault="00594B8D" w:rsidP="00594B8D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Работодателите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селскостопанския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сектор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могат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наемат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помощници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когато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има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допълнителна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напр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периода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прибиране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реколтата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) и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условията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позволяват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напр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Това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покриване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пиковите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периоди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Случайната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форма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замества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еднодневните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договори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78575A36" w14:textId="77777777" w:rsidR="00594B8D" w:rsidRPr="00A933C1" w:rsidRDefault="00594B8D" w:rsidP="00594B8D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4A2CB91C" w14:textId="77777777" w:rsidR="00594B8D" w:rsidRPr="00A933C1" w:rsidRDefault="00594B8D" w:rsidP="00594B8D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Място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(а)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</w:p>
    <w:p w14:paraId="30C64BCD" w14:textId="77777777" w:rsidR="00594B8D" w:rsidRPr="00A933C1" w:rsidRDefault="00594B8D" w:rsidP="00594B8D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Сезонният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може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бъде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нает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всички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места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изброени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трудовото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законодателство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4256CF24" w14:textId="77777777" w:rsidR="00594B8D" w:rsidRPr="00A933C1" w:rsidRDefault="00594B8D" w:rsidP="00594B8D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17555F7D" w14:textId="77777777" w:rsidR="00594B8D" w:rsidRPr="00A933C1" w:rsidRDefault="00594B8D" w:rsidP="00594B8D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Почасов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график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</w:p>
    <w:p w14:paraId="413CF5DB" w14:textId="77777777" w:rsidR="00594B8D" w:rsidRPr="00A933C1" w:rsidRDefault="00594B8D" w:rsidP="00594B8D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Сезонният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бъде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нает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съответствие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с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часовия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график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посочен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трудовото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законодателство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5AB0BC48" w14:textId="77777777" w:rsidR="00594B8D" w:rsidRPr="00A933C1" w:rsidRDefault="00594B8D" w:rsidP="00594B8D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4933FB4F" w14:textId="77777777" w:rsidR="00594B8D" w:rsidRDefault="00594B8D" w:rsidP="00594B8D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Задължения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6A3CE7C7" w14:textId="77777777" w:rsidR="00594B8D" w:rsidRPr="00A933C1" w:rsidRDefault="00594B8D" w:rsidP="00594B8D">
      <w:pPr>
        <w:pStyle w:val="Lijstalinea"/>
        <w:numPr>
          <w:ilvl w:val="0"/>
          <w:numId w:val="5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започнете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трябва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редовен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същото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стопанство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предходните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180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календарни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след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редовна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друго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земеделско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градинарско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стопанство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можете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веднага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започнете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със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случайна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форма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Повече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информация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вашия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работодател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 </w:t>
      </w:r>
    </w:p>
    <w:p w14:paraId="3D94B494" w14:textId="77777777" w:rsidR="00594B8D" w:rsidRPr="00A933C1" w:rsidRDefault="00594B8D" w:rsidP="00594B8D">
      <w:pPr>
        <w:pStyle w:val="Lijstalinea"/>
        <w:numPr>
          <w:ilvl w:val="0"/>
          <w:numId w:val="5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Ако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картата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изгубена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открадната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вече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можете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сезонен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съответната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0CE07234" w14:textId="77777777" w:rsidR="00594B8D" w:rsidRPr="00A933C1" w:rsidRDefault="00594B8D" w:rsidP="00594B8D">
      <w:pPr>
        <w:pStyle w:val="Lijstalinea"/>
        <w:numPr>
          <w:ilvl w:val="0"/>
          <w:numId w:val="5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Всеки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ден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в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който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трябва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попълвате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следното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гърба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възможности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:</w:t>
      </w:r>
    </w:p>
    <w:p w14:paraId="1989DF9A" w14:textId="77777777" w:rsidR="00594B8D" w:rsidRPr="00A933C1" w:rsidRDefault="00594B8D" w:rsidP="00594B8D">
      <w:pPr>
        <w:pStyle w:val="Lijstalinea"/>
        <w:numPr>
          <w:ilvl w:val="1"/>
          <w:numId w:val="5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началото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:</w:t>
      </w:r>
    </w:p>
    <w:p w14:paraId="5953DEF3" w14:textId="77777777" w:rsidR="00594B8D" w:rsidRPr="00A933C1" w:rsidRDefault="00594B8D" w:rsidP="00594B8D">
      <w:pPr>
        <w:pStyle w:val="Lijstalinea"/>
        <w:numPr>
          <w:ilvl w:val="2"/>
          <w:numId w:val="5"/>
        </w:numPr>
        <w:spacing w:after="0" w:line="200" w:lineRule="atLeast"/>
        <w:ind w:left="1440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proofErr w:type="gramStart"/>
      <w:r w:rsidRPr="00A933C1">
        <w:rPr>
          <w:rFonts w:asciiTheme="majorHAnsi" w:eastAsia="Times New Roman" w:hAnsiTheme="majorHAnsi" w:cstheme="majorHAnsi"/>
          <w:sz w:val="18"/>
          <w:szCs w:val="18"/>
        </w:rPr>
        <w:t>датата</w:t>
      </w:r>
      <w:proofErr w:type="spellEnd"/>
      <w:proofErr w:type="gram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достатъчно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посочите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ден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и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месец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019CFF7A" w14:textId="77777777" w:rsidR="00594B8D" w:rsidRPr="00A933C1" w:rsidRDefault="00594B8D" w:rsidP="00594B8D">
      <w:pPr>
        <w:pStyle w:val="Lijstalinea"/>
        <w:numPr>
          <w:ilvl w:val="2"/>
          <w:numId w:val="5"/>
        </w:numPr>
        <w:spacing w:after="0" w:line="200" w:lineRule="atLeast"/>
        <w:ind w:left="1440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proofErr w:type="gramStart"/>
      <w:r w:rsidRPr="00A933C1">
        <w:rPr>
          <w:rFonts w:asciiTheme="majorHAnsi" w:eastAsia="Times New Roman" w:hAnsiTheme="majorHAnsi" w:cstheme="majorHAnsi"/>
          <w:sz w:val="18"/>
          <w:szCs w:val="18"/>
        </w:rPr>
        <w:t>серийния</w:t>
      </w:r>
      <w:proofErr w:type="spellEnd"/>
      <w:proofErr w:type="gram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номер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работодателя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намира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лицевата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страна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възможности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7F018DB5" w14:textId="77777777" w:rsidR="00594B8D" w:rsidRPr="00A933C1" w:rsidRDefault="00594B8D" w:rsidP="00594B8D">
      <w:pPr>
        <w:pStyle w:val="Lijstalinea"/>
        <w:numPr>
          <w:ilvl w:val="1"/>
          <w:numId w:val="5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приключване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ефективният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брой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отработени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часове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т.е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без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почивките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).</w:t>
      </w:r>
    </w:p>
    <w:p w14:paraId="79A66744" w14:textId="77777777" w:rsidR="00594B8D" w:rsidRPr="00A933C1" w:rsidRDefault="00594B8D" w:rsidP="00594B8D">
      <w:pPr>
        <w:pStyle w:val="Lijstalinea"/>
        <w:numPr>
          <w:ilvl w:val="0"/>
          <w:numId w:val="5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веднъж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седмично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работодателят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трябва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парафира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възможности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7FD49383" w14:textId="77777777" w:rsidR="00594B8D" w:rsidRPr="00A933C1" w:rsidRDefault="00594B8D" w:rsidP="00594B8D">
      <w:pPr>
        <w:pStyle w:val="Lijstalinea"/>
        <w:numPr>
          <w:ilvl w:val="0"/>
          <w:numId w:val="5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Когато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започнете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друг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работодател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предайте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него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попълни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своите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данни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отпред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192BF384" w14:textId="77777777" w:rsidR="00594B8D" w:rsidRPr="00A933C1" w:rsidRDefault="00594B8D" w:rsidP="00594B8D">
      <w:pPr>
        <w:pStyle w:val="Lijstalinea"/>
        <w:numPr>
          <w:ilvl w:val="0"/>
          <w:numId w:val="5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Съхранявате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следващата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4629CA39" w14:textId="77777777" w:rsidR="00594B8D" w:rsidRDefault="00594B8D" w:rsidP="00594B8D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</w:p>
    <w:p w14:paraId="4C3FBA2F" w14:textId="77777777" w:rsidR="00594B8D" w:rsidRPr="00A933C1" w:rsidRDefault="00594B8D" w:rsidP="00594B8D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Обезщетения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A933C1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който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работил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агенция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):</w:t>
      </w:r>
    </w:p>
    <w:p w14:paraId="43D66FDF" w14:textId="3D809229" w:rsidR="00594B8D" w:rsidRPr="009C1FB0" w:rsidRDefault="00594B8D" w:rsidP="00594B8D">
      <w:pPr>
        <w:pStyle w:val="Lijstalinea"/>
        <w:numPr>
          <w:ilvl w:val="0"/>
          <w:numId w:val="7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proofErr w:type="gramStart"/>
      <w:r w:rsidRPr="00A933C1">
        <w:rPr>
          <w:rFonts w:asciiTheme="majorHAnsi" w:hAnsiTheme="majorHAnsi" w:cstheme="majorHAnsi"/>
          <w:sz w:val="18"/>
          <w:szCs w:val="18"/>
        </w:rPr>
        <w:t>бонус</w:t>
      </w:r>
      <w:proofErr w:type="spellEnd"/>
      <w:proofErr w:type="gram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края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ако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25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календарната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имате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право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бонус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края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следващата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юли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Понастоящем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той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r w:rsidRPr="009C1FB0">
        <w:rPr>
          <w:rFonts w:asciiTheme="majorHAnsi" w:hAnsiTheme="majorHAnsi" w:cstheme="majorHAnsi"/>
          <w:sz w:val="18"/>
          <w:szCs w:val="18"/>
        </w:rPr>
        <w:t xml:space="preserve">е </w:t>
      </w:r>
      <w:r w:rsidR="00CE076E" w:rsidRPr="00CE076E">
        <w:rPr>
          <w:rFonts w:asciiTheme="majorHAnsi" w:hAnsiTheme="majorHAnsi" w:cstheme="majorHAnsi"/>
          <w:b/>
          <w:bCs/>
          <w:sz w:val="18"/>
          <w:szCs w:val="18"/>
        </w:rPr>
        <w:t>87,47</w:t>
      </w:r>
      <w:r w:rsidRPr="009C1FB0">
        <w:rPr>
          <w:rFonts w:asciiTheme="majorHAnsi" w:hAnsiTheme="majorHAnsi" w:cstheme="majorHAnsi"/>
          <w:sz w:val="18"/>
          <w:szCs w:val="18"/>
        </w:rPr>
        <w:t xml:space="preserve"> EUR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бруто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отпуска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изплаща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Гаранционния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социален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въз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основа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декларациите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DMFA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работодателя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).</w:t>
      </w:r>
    </w:p>
    <w:p w14:paraId="148E8CD7" w14:textId="77777777" w:rsidR="00594B8D" w:rsidRPr="009C1FB0" w:rsidRDefault="00594B8D" w:rsidP="00594B8D">
      <w:pPr>
        <w:pStyle w:val="Lijstalinea"/>
        <w:numPr>
          <w:ilvl w:val="0"/>
          <w:numId w:val="7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лоялност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ако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поне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30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календарната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имате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право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лоялност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следващата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юли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Понастоящем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тя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е 0,5 EUR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отработен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бруто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)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също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ви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отпуска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изплаща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Гаранционния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социален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въз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основа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декларациите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DMFA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работодателя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).</w:t>
      </w:r>
    </w:p>
    <w:p w14:paraId="453A138F" w14:textId="77777777" w:rsidR="00A33A2F" w:rsidRDefault="00594B8D" w:rsidP="00714898">
      <w:pPr>
        <w:pStyle w:val="Lijstalinea"/>
        <w:numPr>
          <w:ilvl w:val="0"/>
          <w:numId w:val="7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Профсъюзна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всеки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20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отработени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имате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право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профсъюзна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размер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12,08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евро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следващата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юли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Тази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също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изчислява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Гаранционния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социален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въз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основа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декларациите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работодателя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ите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)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ДМФА. 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Премията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изплаща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синдиката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, в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който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членувате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>.</w:t>
      </w:r>
    </w:p>
    <w:p w14:paraId="7B1CEB1B" w14:textId="7D2D12E0" w:rsidR="00594B8D" w:rsidRPr="00A33A2F" w:rsidRDefault="00594B8D" w:rsidP="00714898">
      <w:pPr>
        <w:pStyle w:val="Lijstalinea"/>
        <w:numPr>
          <w:ilvl w:val="0"/>
          <w:numId w:val="7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Ако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чрез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агенция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можете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получите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края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годината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r w:rsidRPr="00A33A2F">
        <w:rPr>
          <w:rFonts w:asciiTheme="majorHAnsi" w:hAnsiTheme="majorHAnsi" w:cstheme="majorHAnsi"/>
          <w:sz w:val="18"/>
          <w:szCs w:val="18"/>
        </w:rPr>
        <w:br/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Социалния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временно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наети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лица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Моля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проверете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при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вашата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агенция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>.</w:t>
      </w:r>
    </w:p>
    <w:p w14:paraId="1F74750E" w14:textId="77777777" w:rsidR="00594B8D" w:rsidRDefault="00594B8D" w:rsidP="00594B8D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51BB5282" w14:textId="67A17AAD" w:rsidR="00594B8D" w:rsidRDefault="00594B8D" w:rsidP="00594B8D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Каква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е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заплатата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>?</w:t>
      </w:r>
      <w:r w:rsidRPr="00A933C1">
        <w:rPr>
          <w:rFonts w:asciiTheme="majorHAnsi" w:hAnsiTheme="majorHAnsi" w:cstheme="majorHAnsi"/>
          <w:sz w:val="18"/>
          <w:szCs w:val="18"/>
        </w:rPr>
        <w:t xml:space="preserve"> 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Минималното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почасово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заплащане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договорено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сектора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, е </w:t>
      </w:r>
      <w:r w:rsidR="00B24353" w:rsidRPr="00B24353">
        <w:rPr>
          <w:rFonts w:asciiTheme="majorHAnsi" w:hAnsiTheme="majorHAnsi" w:cstheme="majorHAnsi"/>
          <w:b/>
          <w:bCs/>
          <w:sz w:val="18"/>
          <w:szCs w:val="18"/>
        </w:rPr>
        <w:t>12,</w:t>
      </w:r>
      <w:proofErr w:type="gramStart"/>
      <w:r w:rsidR="00B24353" w:rsidRPr="00B24353">
        <w:rPr>
          <w:rFonts w:asciiTheme="majorHAnsi" w:hAnsiTheme="majorHAnsi" w:cstheme="majorHAnsi"/>
          <w:b/>
          <w:bCs/>
          <w:sz w:val="18"/>
          <w:szCs w:val="18"/>
        </w:rPr>
        <w:t>45</w:t>
      </w:r>
      <w:r w:rsidR="00B24353">
        <w:rPr>
          <w:rFonts w:asciiTheme="majorHAnsi" w:hAnsiTheme="majorHAnsi" w:cstheme="majorHAnsi"/>
          <w:sz w:val="18"/>
          <w:szCs w:val="18"/>
        </w:rPr>
        <w:t xml:space="preserve"> </w:t>
      </w:r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евро</w:t>
      </w:r>
      <w:proofErr w:type="spellEnd"/>
      <w:proofErr w:type="gram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бруто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Професионалният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данък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удържан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при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източника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възлиза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максимум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18,73</w:t>
      </w:r>
      <w:proofErr w:type="gramStart"/>
      <w:r w:rsidR="00A33A2F" w:rsidRPr="00A33A2F">
        <w:rPr>
          <w:rFonts w:asciiTheme="majorHAnsi" w:hAnsiTheme="majorHAnsi" w:cstheme="majorHAnsi"/>
          <w:sz w:val="18"/>
          <w:szCs w:val="18"/>
        </w:rPr>
        <w:t>% .</w:t>
      </w:r>
      <w:proofErr w:type="gram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Заплатите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ви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бъдат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изплащани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интервали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повече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16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календарни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посочения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вас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номер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банкова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сметка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>.</w:t>
      </w:r>
    </w:p>
    <w:p w14:paraId="1A591674" w14:textId="77777777" w:rsidR="00594B8D" w:rsidRDefault="00594B8D" w:rsidP="00594B8D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06F5C325" w14:textId="77777777" w:rsidR="00594B8D" w:rsidRPr="00A933C1" w:rsidRDefault="00594B8D" w:rsidP="00594B8D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1D4C2581" w14:textId="77777777" w:rsidR="00594B8D" w:rsidRPr="00A933C1" w:rsidRDefault="00594B8D" w:rsidP="00594B8D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Винаги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можете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свържете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с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електронна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поща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адрес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secr@hortifonds.be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всеки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между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9 и 12 ч.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телефон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016/24.70.70.</w:t>
      </w:r>
    </w:p>
    <w:p w14:paraId="69AA1C0A" w14:textId="60EAC0F5" w:rsidR="00A82C9D" w:rsidRPr="00594B8D" w:rsidRDefault="00A82C9D" w:rsidP="00594B8D"/>
    <w:sectPr w:rsidR="00A82C9D" w:rsidRPr="00594B8D" w:rsidSect="00A15A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8C44" w14:textId="77777777" w:rsidR="009216F6" w:rsidRDefault="009216F6" w:rsidP="00A15A82">
      <w:pPr>
        <w:spacing w:after="0" w:line="240" w:lineRule="auto"/>
      </w:pPr>
      <w:r>
        <w:separator/>
      </w:r>
    </w:p>
  </w:endnote>
  <w:endnote w:type="continuationSeparator" w:id="0">
    <w:p w14:paraId="059F2ADC" w14:textId="77777777" w:rsidR="009216F6" w:rsidRDefault="009216F6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EC13" w14:textId="77777777" w:rsidR="00BE2086" w:rsidRDefault="00BE208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6EEA" w14:textId="77777777" w:rsidR="003D6341" w:rsidRPr="00EA1A8A" w:rsidRDefault="00B24353" w:rsidP="003D6341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  <w:szCs w:val="20"/>
      </w:rPr>
    </w:pPr>
    <w:r>
      <w:rPr>
        <w:rFonts w:ascii="Raavi" w:eastAsiaTheme="majorEastAsia" w:hAnsi="Raavi" w:cs="Raavi"/>
        <w:color w:val="6EA92D"/>
        <w:sz w:val="20"/>
        <w:szCs w:val="20"/>
      </w:rPr>
      <w:pict w14:anchorId="769226E9">
        <v:rect id="_x0000_i1025" style="width:0;height:1.5pt" o:hralign="center" o:hrstd="t" o:hr="t" fillcolor="#aca899" stroked="f"/>
      </w:pict>
    </w:r>
  </w:p>
  <w:p w14:paraId="2318E186" w14:textId="77777777" w:rsidR="003D6341" w:rsidRPr="003D6341" w:rsidRDefault="003D6341" w:rsidP="003D6341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EAB200"/>
        <w:sz w:val="18"/>
        <w:szCs w:val="18"/>
        <w:lang w:val="en-US"/>
      </w:rPr>
    </w:pPr>
    <w:proofErr w:type="spellStart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>Secr</w:t>
    </w:r>
    <w:proofErr w:type="spellEnd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>.:</w:t>
    </w:r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ab/>
    </w:r>
    <w:proofErr w:type="spellStart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>Diestsevest</w:t>
    </w:r>
    <w:proofErr w:type="spellEnd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 xml:space="preserve"> 32 bus 6a, 3000 Leuven – E-ma</w:t>
    </w:r>
    <w:r>
      <w:rPr>
        <w:rFonts w:ascii="Arial" w:eastAsiaTheme="majorEastAsia" w:hAnsi="Arial" w:cs="Arial"/>
        <w:color w:val="EAB200"/>
        <w:sz w:val="18"/>
        <w:szCs w:val="18"/>
        <w:lang w:val="en-US"/>
      </w:rPr>
      <w:t>il: secr@agrofonds.be – website</w:t>
    </w:r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 xml:space="preserve">: </w:t>
    </w:r>
    <w:r>
      <w:fldChar w:fldCharType="begin"/>
    </w:r>
    <w:r w:rsidRPr="00B24353">
      <w:rPr>
        <w:lang w:val="en-GB"/>
      </w:rPr>
      <w:instrText>HYPERLINK "http://www.fonds-landbouw.be"</w:instrText>
    </w:r>
    <w:r>
      <w:fldChar w:fldCharType="separate"/>
    </w:r>
    <w:r w:rsidRPr="00C1233F">
      <w:rPr>
        <w:rStyle w:val="Hyperlink"/>
        <w:rFonts w:ascii="Arial" w:hAnsi="Arial" w:cs="Arial"/>
        <w:sz w:val="18"/>
        <w:szCs w:val="18"/>
        <w:lang w:val="en-US"/>
      </w:rPr>
      <w:t>www.fonds-landbouw.be</w:t>
    </w:r>
    <w:r>
      <w:fldChar w:fldCharType="end"/>
    </w:r>
  </w:p>
  <w:p w14:paraId="0C909558" w14:textId="6EEADA96" w:rsidR="003D6341" w:rsidRPr="003D6341" w:rsidRDefault="003D6341" w:rsidP="003D6341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EAB200"/>
        <w:sz w:val="18"/>
        <w:szCs w:val="18"/>
      </w:rPr>
    </w:pPr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ab/>
    </w:r>
    <w:r>
      <w:rPr>
        <w:rFonts w:ascii="Arial" w:eastAsiaTheme="majorEastAsia" w:hAnsi="Arial" w:cs="Arial"/>
        <w:color w:val="EAB200"/>
        <w:sz w:val="18"/>
        <w:szCs w:val="18"/>
      </w:rPr>
      <w:t>Tel</w:t>
    </w:r>
    <w:r w:rsidRPr="003D6341">
      <w:rPr>
        <w:rFonts w:ascii="Arial" w:eastAsiaTheme="majorEastAsia" w:hAnsi="Arial" w:cs="Arial"/>
        <w:color w:val="EAB200"/>
        <w:sz w:val="18"/>
        <w:szCs w:val="18"/>
      </w:rPr>
      <w:t>: 016 24 70 70 (enkel tijdens de voormiddag/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uniquement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) </w:t>
    </w:r>
  </w:p>
  <w:p w14:paraId="21BE0545" w14:textId="77777777" w:rsidR="00A15A82" w:rsidRPr="003D6341" w:rsidRDefault="003D6341" w:rsidP="003D6341">
    <w:pPr>
      <w:pStyle w:val="Voettekst"/>
      <w:tabs>
        <w:tab w:val="clear" w:pos="4536"/>
        <w:tab w:val="clear" w:pos="9072"/>
      </w:tabs>
      <w:rPr>
        <w:rFonts w:ascii="Arial" w:hAnsi="Arial" w:cs="Arial"/>
        <w:color w:val="EAB200"/>
        <w:sz w:val="18"/>
        <w:szCs w:val="18"/>
      </w:rPr>
    </w:pPr>
    <w:r w:rsidRPr="003D6341">
      <w:rPr>
        <w:rFonts w:ascii="Arial" w:eastAsiaTheme="majorEastAsia" w:hAnsi="Arial" w:cs="Arial"/>
        <w:color w:val="EAB200"/>
        <w:sz w:val="18"/>
        <w:szCs w:val="18"/>
      </w:rPr>
      <w:tab/>
      <w:t>IBAN: BE95 7390 0127 6458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EA70" w14:textId="77777777" w:rsidR="00BE2086" w:rsidRDefault="00BE20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D0B1" w14:textId="77777777" w:rsidR="009216F6" w:rsidRDefault="009216F6" w:rsidP="00A15A82">
      <w:pPr>
        <w:spacing w:after="0" w:line="240" w:lineRule="auto"/>
      </w:pPr>
      <w:r>
        <w:separator/>
      </w:r>
    </w:p>
  </w:footnote>
  <w:footnote w:type="continuationSeparator" w:id="0">
    <w:p w14:paraId="20CD3B30" w14:textId="77777777" w:rsidR="009216F6" w:rsidRDefault="009216F6" w:rsidP="00A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70B3" w14:textId="77777777" w:rsidR="00BE2086" w:rsidRDefault="00BE208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6"/>
      <w:gridCol w:w="5111"/>
      <w:gridCol w:w="2331"/>
    </w:tblGrid>
    <w:tr w:rsidR="00BE2086" w:rsidRPr="00BE2086" w14:paraId="16C477A4" w14:textId="77777777" w:rsidTr="00BE2086">
      <w:tc>
        <w:tcPr>
          <w:tcW w:w="1980" w:type="dxa"/>
        </w:tcPr>
        <w:p w14:paraId="2F5F479A" w14:textId="4229AC0C" w:rsidR="00BE2086" w:rsidRDefault="00BE2086">
          <w:pPr>
            <w:pStyle w:val="Koptekst"/>
          </w:pPr>
          <w:r>
            <w:rPr>
              <w:rFonts w:ascii="Raavi" w:hAnsi="Raavi" w:cs="Raavi"/>
              <w:noProof/>
              <w:lang w:eastAsia="nl-BE"/>
            </w:rPr>
            <w:drawing>
              <wp:inline distT="0" distB="0" distL="0" distR="0" wp14:anchorId="53BA2CC3" wp14:editId="7896D7FC">
                <wp:extent cx="1257300" cy="467626"/>
                <wp:effectExtent l="0" t="0" r="0" b="8890"/>
                <wp:docPr id="20" name="Afbeelding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L_roboto_circle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6327" cy="4784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3" w:type="dxa"/>
        </w:tcPr>
        <w:p w14:paraId="741A02B2" w14:textId="77777777" w:rsidR="00BE2086" w:rsidRPr="003D6341" w:rsidRDefault="00BE2086" w:rsidP="00BE2086">
          <w:pPr>
            <w:jc w:val="center"/>
            <w:rPr>
              <w:rFonts w:ascii="Arial" w:hAnsi="Arial" w:cs="Arial"/>
              <w:color w:val="FFC000"/>
              <w:sz w:val="20"/>
              <w:szCs w:val="20"/>
            </w:rPr>
          </w:pPr>
          <w:r w:rsidRPr="003D6341">
            <w:rPr>
              <w:rFonts w:ascii="Arial" w:hAnsi="Arial" w:cs="Arial"/>
              <w:color w:val="FFC000"/>
              <w:sz w:val="20"/>
              <w:szCs w:val="20"/>
            </w:rPr>
            <w:t>Waarborg en Sociaal Fonds voor de Landbouw</w:t>
          </w:r>
        </w:p>
        <w:p w14:paraId="754A9D82" w14:textId="24E654BC" w:rsidR="00BE2086" w:rsidRPr="00BE2086" w:rsidRDefault="00BE2086" w:rsidP="00BE2086">
          <w:pPr>
            <w:pStyle w:val="Koptekst"/>
            <w:jc w:val="center"/>
            <w:rPr>
              <w:lang w:val="fr-FR"/>
            </w:rPr>
          </w:pPr>
          <w:r w:rsidRPr="003D6341">
            <w:rPr>
              <w:rFonts w:ascii="Arial" w:hAnsi="Arial" w:cs="Arial"/>
              <w:color w:val="FFC000"/>
              <w:sz w:val="20"/>
              <w:szCs w:val="20"/>
              <w:lang w:val="fr-FR"/>
            </w:rPr>
            <w:t>Fonds Social et de Garantie pour l’Agriculture</w:t>
          </w:r>
        </w:p>
      </w:tc>
      <w:tc>
        <w:tcPr>
          <w:tcW w:w="1905" w:type="dxa"/>
        </w:tcPr>
        <w:p w14:paraId="4A8977C4" w14:textId="1FA6A909" w:rsidR="00BE2086" w:rsidRPr="00BE2086" w:rsidRDefault="00BE2086">
          <w:pPr>
            <w:pStyle w:val="Koptekst"/>
            <w:rPr>
              <w:lang w:val="fr-FR"/>
            </w:rPr>
          </w:pPr>
          <w:r>
            <w:rPr>
              <w:rFonts w:ascii="Raavi" w:hAnsi="Raavi" w:cs="Raavi"/>
              <w:noProof/>
              <w:lang w:eastAsia="nl-BE"/>
            </w:rPr>
            <w:drawing>
              <wp:inline distT="0" distB="0" distL="0" distR="0" wp14:anchorId="57AF762A" wp14:editId="5FE8E210">
                <wp:extent cx="1343025" cy="464200"/>
                <wp:effectExtent l="0" t="0" r="0" b="0"/>
                <wp:docPr id="21" name="Afbeelding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A_roboto_circle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7382" cy="46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32AE78" w14:textId="3BD2C3F6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5ED0" w14:textId="77777777" w:rsidR="00BE2086" w:rsidRDefault="00BE208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32E43"/>
    <w:multiLevelType w:val="hybridMultilevel"/>
    <w:tmpl w:val="D8AA71DE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26E5A"/>
    <w:multiLevelType w:val="hybridMultilevel"/>
    <w:tmpl w:val="FFFFFFFF"/>
    <w:lvl w:ilvl="0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1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D406FB9"/>
    <w:multiLevelType w:val="hybridMultilevel"/>
    <w:tmpl w:val="A446883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1260480">
    <w:abstractNumId w:val="2"/>
  </w:num>
  <w:num w:numId="2" w16cid:durableId="1691561870">
    <w:abstractNumId w:val="0"/>
  </w:num>
  <w:num w:numId="3" w16cid:durableId="1198272903">
    <w:abstractNumId w:val="4"/>
  </w:num>
  <w:num w:numId="4" w16cid:durableId="1332756658">
    <w:abstractNumId w:val="3"/>
  </w:num>
  <w:num w:numId="5" w16cid:durableId="531845727">
    <w:abstractNumId w:val="5"/>
  </w:num>
  <w:num w:numId="6" w16cid:durableId="154995484">
    <w:abstractNumId w:val="3"/>
  </w:num>
  <w:num w:numId="7" w16cid:durableId="400949723">
    <w:abstractNumId w:val="6"/>
  </w:num>
  <w:num w:numId="8" w16cid:durableId="534729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6F6"/>
    <w:rsid w:val="001F680A"/>
    <w:rsid w:val="00254AB1"/>
    <w:rsid w:val="00281B3E"/>
    <w:rsid w:val="00314B94"/>
    <w:rsid w:val="00364548"/>
    <w:rsid w:val="003A49D3"/>
    <w:rsid w:val="003B5814"/>
    <w:rsid w:val="003C39DA"/>
    <w:rsid w:val="003D6341"/>
    <w:rsid w:val="003E58AF"/>
    <w:rsid w:val="00417C77"/>
    <w:rsid w:val="004526F8"/>
    <w:rsid w:val="004A7B7F"/>
    <w:rsid w:val="004F6D4B"/>
    <w:rsid w:val="00594B8D"/>
    <w:rsid w:val="00695119"/>
    <w:rsid w:val="006E30DF"/>
    <w:rsid w:val="007B2B07"/>
    <w:rsid w:val="00817C50"/>
    <w:rsid w:val="009117E7"/>
    <w:rsid w:val="009216F6"/>
    <w:rsid w:val="009F1BBA"/>
    <w:rsid w:val="00A15A82"/>
    <w:rsid w:val="00A33A2F"/>
    <w:rsid w:val="00A82C9D"/>
    <w:rsid w:val="00B24353"/>
    <w:rsid w:val="00B47CE0"/>
    <w:rsid w:val="00BC78DF"/>
    <w:rsid w:val="00BE2086"/>
    <w:rsid w:val="00C52772"/>
    <w:rsid w:val="00C6308F"/>
    <w:rsid w:val="00CB293F"/>
    <w:rsid w:val="00CB7AF0"/>
    <w:rsid w:val="00CE076E"/>
    <w:rsid w:val="00D24C5F"/>
    <w:rsid w:val="00D81514"/>
    <w:rsid w:val="00E868FD"/>
    <w:rsid w:val="00E92313"/>
    <w:rsid w:val="00E959B6"/>
    <w:rsid w:val="00EE1245"/>
    <w:rsid w:val="00EF5303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023257F7"/>
  <w15:chartTrackingRefBased/>
  <w15:docId w15:val="{29642972-DEFC-4F59-8A53-7898B3A8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CB7AF0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82C9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82C9D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82C9D"/>
    <w:rPr>
      <w:rFonts w:cs="Times New Roman"/>
      <w:vertAlign w:val="superscript"/>
    </w:rPr>
  </w:style>
  <w:style w:type="paragraph" w:styleId="Revisie">
    <w:name w:val="Revision"/>
    <w:hidden/>
    <w:uiPriority w:val="99"/>
    <w:semiHidden/>
    <w:rsid w:val="00A82C9D"/>
    <w:pPr>
      <w:spacing w:after="0" w:line="240" w:lineRule="auto"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C39DA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C39DA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3C39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764C-276D-4E26-AD25-A71B5E8F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2026-01-12T15:33:00Z</dcterms:created>
  <dcterms:modified xsi:type="dcterms:W3CDTF">2026-01-12T15:33:00Z</dcterms:modified>
</cp:coreProperties>
</file>